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912" w:rsidRPr="00801006" w:rsidRDefault="00B70912" w:rsidP="00801006">
      <w:pPr>
        <w:spacing w:line="240" w:lineRule="exact"/>
        <w:jc w:val="left"/>
        <w:rPr>
          <w:rFonts w:ascii="微软雅黑" w:eastAsia="微软雅黑" w:hAnsi="微软雅黑" w:cs="宋体"/>
          <w:b/>
          <w:color w:val="FF0000"/>
          <w:kern w:val="0"/>
          <w:sz w:val="22"/>
          <w:szCs w:val="22"/>
        </w:rPr>
      </w:pPr>
    </w:p>
    <w:p w:rsidR="009625D4" w:rsidRPr="00B70912" w:rsidRDefault="00625CB3" w:rsidP="00801006">
      <w:pPr>
        <w:spacing w:line="600" w:lineRule="exact"/>
        <w:jc w:val="center"/>
        <w:rPr>
          <w:rFonts w:ascii="微软雅黑" w:eastAsia="微软雅黑" w:hAnsi="微软雅黑" w:cs="Arial"/>
          <w:b/>
          <w:color w:val="FF0000"/>
          <w:kern w:val="0"/>
          <w:sz w:val="40"/>
          <w:szCs w:val="40"/>
        </w:rPr>
      </w:pPr>
      <w:r w:rsidRPr="00B70912">
        <w:rPr>
          <w:rFonts w:ascii="微软雅黑" w:eastAsia="微软雅黑" w:hAnsi="微软雅黑" w:cs="宋体" w:hint="eastAsia"/>
          <w:b/>
          <w:color w:val="FF0000"/>
          <w:kern w:val="0"/>
          <w:sz w:val="40"/>
          <w:szCs w:val="40"/>
        </w:rPr>
        <w:t>中华人民共和国领海及毗连区法</w:t>
      </w:r>
    </w:p>
    <w:p w:rsidR="009625D4" w:rsidRDefault="009625D4" w:rsidP="00B70912">
      <w:pPr>
        <w:spacing w:line="240" w:lineRule="exact"/>
        <w:rPr>
          <w:rFonts w:ascii="微软雅黑" w:eastAsia="微软雅黑" w:hAnsi="微软雅黑" w:cs="宋体"/>
          <w:kern w:val="0"/>
          <w:sz w:val="22"/>
          <w:szCs w:val="22"/>
        </w:rPr>
      </w:pPr>
    </w:p>
    <w:p w:rsidR="00801006" w:rsidRDefault="00801006" w:rsidP="00801006">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1992-02-25</w:t>
      </w:r>
      <w:bookmarkStart w:id="0" w:name="_GoBack"/>
      <w:bookmarkEnd w:id="0"/>
    </w:p>
    <w:p w:rsidR="00801006" w:rsidRPr="00B70912" w:rsidRDefault="00801006" w:rsidP="00B70912">
      <w:pPr>
        <w:spacing w:line="240" w:lineRule="exact"/>
        <w:rPr>
          <w:rFonts w:ascii="微软雅黑" w:eastAsia="微软雅黑" w:hAnsi="微软雅黑" w:cs="宋体" w:hint="eastAsia"/>
          <w:kern w:val="0"/>
          <w:sz w:val="22"/>
          <w:szCs w:val="22"/>
        </w:rPr>
      </w:pPr>
    </w:p>
    <w:p w:rsidR="009625D4" w:rsidRPr="00B70912" w:rsidRDefault="00625CB3" w:rsidP="00801006">
      <w:pPr>
        <w:spacing w:line="240" w:lineRule="exact"/>
        <w:ind w:leftChars="200" w:left="640" w:rightChars="200" w:right="640"/>
        <w:jc w:val="center"/>
        <w:rPr>
          <w:rFonts w:ascii="微软雅黑" w:eastAsia="微软雅黑" w:hAnsi="微软雅黑" w:cs="楷体_GB2312"/>
          <w:kern w:val="0"/>
          <w:sz w:val="22"/>
          <w:szCs w:val="22"/>
        </w:rPr>
      </w:pPr>
      <w:r w:rsidRPr="00B70912">
        <w:rPr>
          <w:rFonts w:ascii="微软雅黑" w:eastAsia="微软雅黑" w:hAnsi="微软雅黑" w:cs="楷体_GB2312" w:hint="eastAsia"/>
          <w:kern w:val="0"/>
          <w:sz w:val="22"/>
          <w:szCs w:val="22"/>
        </w:rPr>
        <w:t>（1992年2月25日第七届全国人民代表大会常务委员会第二十四次会议通过）</w:t>
      </w:r>
    </w:p>
    <w:p w:rsidR="009625D4" w:rsidRPr="00B70912" w:rsidRDefault="009625D4" w:rsidP="00B70912">
      <w:pPr>
        <w:spacing w:line="240" w:lineRule="exact"/>
        <w:rPr>
          <w:rFonts w:ascii="微软雅黑" w:eastAsia="微软雅黑" w:hAnsi="微软雅黑" w:cs="宋体"/>
          <w:kern w:val="0"/>
          <w:sz w:val="22"/>
          <w:szCs w:val="22"/>
        </w:rPr>
      </w:pP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第一条</w:t>
      </w:r>
      <w:r w:rsidR="00B70912">
        <w:rPr>
          <w:rFonts w:ascii="微软雅黑" w:eastAsia="微软雅黑" w:hAnsi="微软雅黑" w:cs="Arial" w:hint="eastAsia"/>
          <w:kern w:val="0"/>
          <w:sz w:val="22"/>
          <w:szCs w:val="22"/>
        </w:rPr>
        <w:t xml:space="preserve">　为行使中华人民共和国对领海</w:t>
      </w:r>
      <w:r w:rsidRPr="00B70912">
        <w:rPr>
          <w:rFonts w:ascii="微软雅黑" w:eastAsia="微软雅黑" w:hAnsi="微软雅黑" w:cs="Arial" w:hint="eastAsia"/>
          <w:kern w:val="0"/>
          <w:sz w:val="22"/>
          <w:szCs w:val="22"/>
        </w:rPr>
        <w:t>主权和对毗连区的管制权，维护国家安全和海洋权益，制定本法。</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Arial" w:hint="eastAsia"/>
          <w:b/>
          <w:kern w:val="0"/>
          <w:sz w:val="22"/>
          <w:szCs w:val="22"/>
        </w:rPr>
        <w:t xml:space="preserve">　</w:t>
      </w:r>
      <w:r w:rsidRPr="00B70912">
        <w:rPr>
          <w:rFonts w:ascii="微软雅黑" w:eastAsia="微软雅黑" w:hAnsi="微软雅黑" w:cs="黑体" w:hint="eastAsia"/>
          <w:b/>
          <w:kern w:val="0"/>
          <w:sz w:val="22"/>
          <w:szCs w:val="22"/>
        </w:rPr>
        <w:t>第二条</w:t>
      </w:r>
      <w:r w:rsidRPr="00B70912">
        <w:rPr>
          <w:rFonts w:ascii="微软雅黑" w:eastAsia="微软雅黑" w:hAnsi="微软雅黑" w:cs="Arial" w:hint="eastAsia"/>
          <w:kern w:val="0"/>
          <w:sz w:val="22"/>
          <w:szCs w:val="22"/>
        </w:rPr>
        <w:t xml:space="preserve">　中华人民共和国领海为邻接中华人民共和国陆地领土和内水的一带海域。</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中华人民共和国的陆地领土包括中华人民共和国大陆及其沿海岛屿、台湾及其包括钓鱼岛在内的附属各岛、澎湖列岛、东沙群岛、西沙群岛、中沙群岛、南沙群岛以及其他一切属于中华人民共和国的岛屿。</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中华人民共和国领海基线向陆地一侧的水域为中华人民共和国的内水。</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第三条</w:t>
      </w:r>
      <w:r w:rsidRPr="00B70912">
        <w:rPr>
          <w:rFonts w:ascii="微软雅黑" w:eastAsia="微软雅黑" w:hAnsi="微软雅黑" w:cs="Arial" w:hint="eastAsia"/>
          <w:kern w:val="0"/>
          <w:sz w:val="22"/>
          <w:szCs w:val="22"/>
        </w:rPr>
        <w:t xml:space="preserve">　中华人民共和国领海的宽度从领海基线量起为十二海里。</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中华人民共和国领海基线采用直线基线法划定，由各相邻基点之间的直线连线组成。</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中华人民共和国领海的外部界限为一条其每一点与领海基线的最近点距离等于十二海里的线。</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第四条</w:t>
      </w:r>
      <w:r w:rsidRPr="00B70912">
        <w:rPr>
          <w:rFonts w:ascii="微软雅黑" w:eastAsia="微软雅黑" w:hAnsi="微软雅黑" w:cs="Arial" w:hint="eastAsia"/>
          <w:kern w:val="0"/>
          <w:sz w:val="22"/>
          <w:szCs w:val="22"/>
        </w:rPr>
        <w:t xml:space="preserve">　中华人民共和国毗连区为领海以外邻接领海的一带海域。毗连区的宽度为十二海里。</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中华人民共和国毗连区的外部界限为一条其每一点与领海基线的最近点距离等于二十四海里的线。</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第五条</w:t>
      </w:r>
      <w:r w:rsidRPr="00B70912">
        <w:rPr>
          <w:rFonts w:ascii="微软雅黑" w:eastAsia="微软雅黑" w:hAnsi="微软雅黑" w:cs="Arial" w:hint="eastAsia"/>
          <w:kern w:val="0"/>
          <w:sz w:val="22"/>
          <w:szCs w:val="22"/>
        </w:rPr>
        <w:t xml:space="preserve">　中华人民共和国对领海的主权及于领海上空、领海的海床及底土。</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第六条</w:t>
      </w:r>
      <w:r w:rsidRPr="00B70912">
        <w:rPr>
          <w:rFonts w:ascii="微软雅黑" w:eastAsia="微软雅黑" w:hAnsi="微软雅黑" w:cs="Arial" w:hint="eastAsia"/>
          <w:kern w:val="0"/>
          <w:sz w:val="22"/>
          <w:szCs w:val="22"/>
        </w:rPr>
        <w:t xml:space="preserve">　外国非军用船舶，享有依法无害通过中华人民共和国领海的权利。</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外国军用船舶进入中华人民共和国领海，须经中华人民共和国政府批准。</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第七条</w:t>
      </w:r>
      <w:r w:rsidRPr="00B70912">
        <w:rPr>
          <w:rFonts w:ascii="微软雅黑" w:eastAsia="微软雅黑" w:hAnsi="微软雅黑" w:cs="Arial" w:hint="eastAsia"/>
          <w:kern w:val="0"/>
          <w:sz w:val="22"/>
          <w:szCs w:val="22"/>
        </w:rPr>
        <w:t xml:space="preserve">　外国潜水艇和其他潜水器通过中华人民共和国领海，必须在海面航行，并展示其旗帜。</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第八条</w:t>
      </w:r>
      <w:r w:rsidRPr="00B70912">
        <w:rPr>
          <w:rFonts w:ascii="微软雅黑" w:eastAsia="微软雅黑" w:hAnsi="微软雅黑" w:cs="Arial" w:hint="eastAsia"/>
          <w:kern w:val="0"/>
          <w:sz w:val="22"/>
          <w:szCs w:val="22"/>
        </w:rPr>
        <w:t xml:space="preserve">　外国船舶通过中华人民共和国领海，必须遵守中华人民共和国法律、法规，不得损害中华人民共和国的和平、安全和良好秩序。</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外国核动力船</w:t>
      </w:r>
      <w:proofErr w:type="gramStart"/>
      <w:r w:rsidRPr="00B70912">
        <w:rPr>
          <w:rFonts w:ascii="微软雅黑" w:eastAsia="微软雅黑" w:hAnsi="微软雅黑" w:cs="Arial" w:hint="eastAsia"/>
          <w:kern w:val="0"/>
          <w:sz w:val="22"/>
          <w:szCs w:val="22"/>
        </w:rPr>
        <w:t>舶</w:t>
      </w:r>
      <w:proofErr w:type="gramEnd"/>
      <w:r w:rsidRPr="00B70912">
        <w:rPr>
          <w:rFonts w:ascii="微软雅黑" w:eastAsia="微软雅黑" w:hAnsi="微软雅黑" w:cs="Arial" w:hint="eastAsia"/>
          <w:kern w:val="0"/>
          <w:sz w:val="22"/>
          <w:szCs w:val="22"/>
        </w:rPr>
        <w:t>和载运核物质、有毒物质或者其他危险物质的船舶通过中华人民共和国领海，必须持有有关证书，并采取特别预防措施。</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中华人民共和国政府有权采取一切必要措施，以防止和制止对领海的非无害通过。</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外国船舶违反中华人民共和国法律、法规的，由中华人民共和国有关机关依法处理。</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第九条</w:t>
      </w:r>
      <w:r w:rsidRPr="00B70912">
        <w:rPr>
          <w:rFonts w:ascii="微软雅黑" w:eastAsia="微软雅黑" w:hAnsi="微软雅黑" w:cs="Arial" w:hint="eastAsia"/>
          <w:kern w:val="0"/>
          <w:sz w:val="22"/>
          <w:szCs w:val="22"/>
        </w:rPr>
        <w:t xml:space="preserve">　为维护航行安全和其他特殊需要，中华人民共和国政府可以要求通过中华人民共和国领海的外国船舶使用指定的航道或者依照规定的分道通航制航行，具体办法由中华人民共和国政府或者其有关主管部门公布。</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Arial" w:hint="eastAsia"/>
          <w:b/>
          <w:kern w:val="0"/>
          <w:sz w:val="22"/>
          <w:szCs w:val="22"/>
        </w:rPr>
        <w:t xml:space="preserve">　</w:t>
      </w:r>
      <w:r w:rsidRPr="00B70912">
        <w:rPr>
          <w:rFonts w:ascii="微软雅黑" w:eastAsia="微软雅黑" w:hAnsi="微软雅黑" w:cs="黑体" w:hint="eastAsia"/>
          <w:b/>
          <w:kern w:val="0"/>
          <w:sz w:val="22"/>
          <w:szCs w:val="22"/>
        </w:rPr>
        <w:t>第十条</w:t>
      </w:r>
      <w:r w:rsidRPr="00B70912">
        <w:rPr>
          <w:rFonts w:ascii="微软雅黑" w:eastAsia="微软雅黑" w:hAnsi="微软雅黑" w:cs="Arial" w:hint="eastAsia"/>
          <w:kern w:val="0"/>
          <w:sz w:val="22"/>
          <w:szCs w:val="22"/>
        </w:rPr>
        <w:t xml:space="preserve">　外国军用船舶或者用于非商业目的的外国政府船舶在通过中华人民共和国领海时，违反中华人民共和国法律、法规的，中华人民共和国有关主管机关有权令其立即离开领海，对所造成的损失或者损害，船旗国应当</w:t>
      </w:r>
      <w:proofErr w:type="gramStart"/>
      <w:r w:rsidRPr="00B70912">
        <w:rPr>
          <w:rFonts w:ascii="微软雅黑" w:eastAsia="微软雅黑" w:hAnsi="微软雅黑" w:cs="Arial" w:hint="eastAsia"/>
          <w:kern w:val="0"/>
          <w:sz w:val="22"/>
          <w:szCs w:val="22"/>
        </w:rPr>
        <w:t>负国际</w:t>
      </w:r>
      <w:proofErr w:type="gramEnd"/>
      <w:r w:rsidRPr="00B70912">
        <w:rPr>
          <w:rFonts w:ascii="微软雅黑" w:eastAsia="微软雅黑" w:hAnsi="微软雅黑" w:cs="Arial" w:hint="eastAsia"/>
          <w:kern w:val="0"/>
          <w:sz w:val="22"/>
          <w:szCs w:val="22"/>
        </w:rPr>
        <w:t>责任。</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Arial" w:hint="eastAsia"/>
          <w:b/>
          <w:kern w:val="0"/>
          <w:sz w:val="22"/>
          <w:szCs w:val="22"/>
        </w:rPr>
        <w:t xml:space="preserve">　</w:t>
      </w:r>
      <w:r w:rsidRPr="00B70912">
        <w:rPr>
          <w:rFonts w:ascii="微软雅黑" w:eastAsia="微软雅黑" w:hAnsi="微软雅黑" w:cs="黑体" w:hint="eastAsia"/>
          <w:b/>
          <w:kern w:val="0"/>
          <w:sz w:val="22"/>
          <w:szCs w:val="22"/>
        </w:rPr>
        <w:t>第十一条</w:t>
      </w:r>
      <w:r w:rsidRPr="00B70912">
        <w:rPr>
          <w:rFonts w:ascii="微软雅黑" w:eastAsia="微软雅黑" w:hAnsi="微软雅黑" w:cs="Arial" w:hint="eastAsia"/>
          <w:kern w:val="0"/>
          <w:sz w:val="22"/>
          <w:szCs w:val="22"/>
        </w:rPr>
        <w:t xml:space="preserve">　任何国际组织、外国的组织或者个人，在中华人民共和国领海内进行科学研究、海洋作业等活动，须经中华人民共和国政府或者其有关主管部门批准，遵守中华人民共和国法律、法规。</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违反前款规定，非法进入中华人民共和国领海进行科学研究、海洋作业等活动的，由中华人民共和国有关机关依法处理。</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第十二条</w:t>
      </w:r>
      <w:r w:rsidRPr="00B70912">
        <w:rPr>
          <w:rFonts w:ascii="微软雅黑" w:eastAsia="微软雅黑" w:hAnsi="微软雅黑" w:cs="Arial" w:hint="eastAsia"/>
          <w:kern w:val="0"/>
          <w:sz w:val="22"/>
          <w:szCs w:val="22"/>
        </w:rPr>
        <w:t xml:space="preserve">　外国航空器只有根据该国政府与中华人民共和国政府签订的协定、协议，或者经中华人民共和国政府或者其授权的机关批准或者接受，方可进入中华人民共和国领海上空。</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第十三条</w:t>
      </w:r>
      <w:r w:rsidRPr="00B70912">
        <w:rPr>
          <w:rFonts w:ascii="微软雅黑" w:eastAsia="微软雅黑" w:hAnsi="微软雅黑" w:cs="Arial" w:hint="eastAsia"/>
          <w:kern w:val="0"/>
          <w:sz w:val="22"/>
          <w:szCs w:val="22"/>
        </w:rPr>
        <w:t xml:space="preserve">　中华人民共和国有权在毗连区内，为防止和惩处在其陆地领土、内水或者领海内违反有关安全、海关、财政、卫生或者入境出境管理的法律、法规的行为行使管制权。</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Arial" w:hint="eastAsia"/>
          <w:b/>
          <w:kern w:val="0"/>
          <w:sz w:val="22"/>
          <w:szCs w:val="22"/>
        </w:rPr>
        <w:t xml:space="preserve">　</w:t>
      </w:r>
      <w:r w:rsidRPr="00B70912">
        <w:rPr>
          <w:rFonts w:ascii="微软雅黑" w:eastAsia="微软雅黑" w:hAnsi="微软雅黑" w:cs="黑体" w:hint="eastAsia"/>
          <w:b/>
          <w:kern w:val="0"/>
          <w:sz w:val="22"/>
          <w:szCs w:val="22"/>
        </w:rPr>
        <w:t>第十四条</w:t>
      </w:r>
      <w:r w:rsidRPr="00B70912">
        <w:rPr>
          <w:rFonts w:ascii="微软雅黑" w:eastAsia="微软雅黑" w:hAnsi="微软雅黑" w:cs="Arial" w:hint="eastAsia"/>
          <w:kern w:val="0"/>
          <w:sz w:val="22"/>
          <w:szCs w:val="22"/>
        </w:rPr>
        <w:t xml:space="preserve">　中华人民共和国有关主管机关有充分理由认为外国船舶违反中华人民共和国法律、法规时，可以对该外国船舶行使紧追权。</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追逐须在外国船舶或者其小艇之一或者以被追逐的船舶为母船进行活动的其他船艇在中华人民共和国的内水、领海或者毗连区内时开始。</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如果外国船舶是在中华人民共和国毗连区内，追逐只有在本法第十三条所列有关法律、法规规定的权利受到侵犯时方可进行。</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追逐只要没有中断，可以在中华人民共和国领海或者毗连区外继续进行。在被追逐的船舶进入其本国领海或者第三国领海时，追逐终止。</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本条规定的紧追权由中华人民共和国军用船舶、军用航空器或者中华人民共和国政府授权的执行政府公务的船舶、航空器行使。</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第十五条</w:t>
      </w:r>
      <w:r w:rsidRPr="00B70912">
        <w:rPr>
          <w:rFonts w:ascii="微软雅黑" w:eastAsia="微软雅黑" w:hAnsi="微软雅黑" w:cs="Arial" w:hint="eastAsia"/>
          <w:kern w:val="0"/>
          <w:sz w:val="22"/>
          <w:szCs w:val="22"/>
        </w:rPr>
        <w:t xml:space="preserve">　中华人民共和国领海基线由中华人民共和国政府公布。</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第十六条</w:t>
      </w:r>
      <w:r w:rsidRPr="00B70912">
        <w:rPr>
          <w:rFonts w:ascii="微软雅黑" w:eastAsia="微软雅黑" w:hAnsi="微软雅黑" w:cs="Arial" w:hint="eastAsia"/>
          <w:kern w:val="0"/>
          <w:sz w:val="22"/>
          <w:szCs w:val="22"/>
        </w:rPr>
        <w:t xml:space="preserve">　中华人民共和国政府依据本法制定有关规定。</w:t>
      </w:r>
    </w:p>
    <w:p w:rsidR="009625D4" w:rsidRPr="00B70912" w:rsidRDefault="00625CB3" w:rsidP="00B70912">
      <w:pPr>
        <w:spacing w:line="280" w:lineRule="exact"/>
        <w:rPr>
          <w:rFonts w:ascii="微软雅黑" w:eastAsia="微软雅黑" w:hAnsi="微软雅黑" w:cs="Arial"/>
          <w:kern w:val="0"/>
          <w:sz w:val="22"/>
          <w:szCs w:val="22"/>
        </w:rPr>
      </w:pPr>
      <w:r w:rsidRPr="00B70912">
        <w:rPr>
          <w:rFonts w:ascii="微软雅黑" w:eastAsia="微软雅黑" w:hAnsi="微软雅黑" w:cs="Arial" w:hint="eastAsia"/>
          <w:kern w:val="0"/>
          <w:sz w:val="22"/>
          <w:szCs w:val="22"/>
        </w:rPr>
        <w:t xml:space="preserve">　　</w:t>
      </w:r>
      <w:r w:rsidRPr="00B70912">
        <w:rPr>
          <w:rFonts w:ascii="微软雅黑" w:eastAsia="微软雅黑" w:hAnsi="微软雅黑" w:cs="黑体" w:hint="eastAsia"/>
          <w:b/>
          <w:kern w:val="0"/>
          <w:sz w:val="22"/>
          <w:szCs w:val="22"/>
        </w:rPr>
        <w:t>第十七条</w:t>
      </w:r>
      <w:r w:rsidRPr="00B70912">
        <w:rPr>
          <w:rFonts w:ascii="微软雅黑" w:eastAsia="微软雅黑" w:hAnsi="微软雅黑" w:cs="Arial" w:hint="eastAsia"/>
          <w:kern w:val="0"/>
          <w:sz w:val="22"/>
          <w:szCs w:val="22"/>
        </w:rPr>
        <w:t xml:space="preserve">　本法自公布之日起施行。</w:t>
      </w:r>
    </w:p>
    <w:sectPr w:rsidR="009625D4" w:rsidRPr="00B70912" w:rsidSect="00B70912">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46D" w:rsidRDefault="002F546D" w:rsidP="009625D4">
      <w:r>
        <w:separator/>
      </w:r>
    </w:p>
  </w:endnote>
  <w:endnote w:type="continuationSeparator" w:id="0">
    <w:p w:rsidR="002F546D" w:rsidRDefault="002F546D" w:rsidP="0096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D4" w:rsidRDefault="002F546D">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625D4" w:rsidRDefault="00625CB3">
                <w:pPr>
                  <w:pStyle w:val="a7"/>
                  <w:rPr>
                    <w:rFonts w:ascii="宋体" w:eastAsia="宋体" w:hAnsi="宋体" w:cs="宋体"/>
                    <w:sz w:val="28"/>
                    <w:szCs w:val="28"/>
                  </w:rPr>
                </w:pPr>
                <w:r>
                  <w:rPr>
                    <w:rFonts w:ascii="宋体" w:eastAsia="宋体" w:hAnsi="宋体" w:cs="宋体" w:hint="eastAsia"/>
                    <w:sz w:val="28"/>
                    <w:szCs w:val="28"/>
                  </w:rPr>
                  <w:t xml:space="preserve">　—</w:t>
                </w:r>
                <w:r w:rsidR="009625D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625D4">
                  <w:rPr>
                    <w:rFonts w:ascii="宋体" w:eastAsia="宋体" w:hAnsi="宋体" w:cs="宋体" w:hint="eastAsia"/>
                    <w:sz w:val="28"/>
                    <w:szCs w:val="28"/>
                  </w:rPr>
                  <w:fldChar w:fldCharType="separate"/>
                </w:r>
                <w:r w:rsidR="00B70912">
                  <w:rPr>
                    <w:rFonts w:ascii="宋体" w:eastAsia="宋体" w:hAnsi="宋体" w:cs="宋体"/>
                    <w:noProof/>
                    <w:sz w:val="28"/>
                    <w:szCs w:val="28"/>
                  </w:rPr>
                  <w:t>2</w:t>
                </w:r>
                <w:r w:rsidR="009625D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D4" w:rsidRDefault="002F546D">
    <w:pPr>
      <w:pStyle w:val="a7"/>
    </w:pPr>
    <w:r>
      <w:pict>
        <v:shapetype id="_x0000_t202" coordsize="21600,21600" o:spt="202" path="m,l,21600r21600,l21600,xe">
          <v:stroke joinstyle="miter"/>
          <v:path gradientshapeok="t" o:connecttype="rect"/>
        </v:shapetype>
        <v:shape id="_x0000_s2050" type="#_x0000_t202" style="position:absolute;margin-left:455pt;margin-top:0;width:63.2pt;height:18.15pt;z-index:1;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9625D4" w:rsidRDefault="00625CB3">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9625D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625D4">
                  <w:rPr>
                    <w:rFonts w:ascii="宋体" w:eastAsia="宋体" w:hAnsi="宋体" w:cs="宋体" w:hint="eastAsia"/>
                    <w:sz w:val="28"/>
                    <w:szCs w:val="28"/>
                  </w:rPr>
                  <w:fldChar w:fldCharType="separate"/>
                </w:r>
                <w:r w:rsidR="00B70912">
                  <w:rPr>
                    <w:rFonts w:ascii="宋体" w:eastAsia="宋体" w:hAnsi="宋体" w:cs="宋体"/>
                    <w:noProof/>
                    <w:sz w:val="28"/>
                    <w:szCs w:val="28"/>
                  </w:rPr>
                  <w:t>1</w:t>
                </w:r>
                <w:r w:rsidR="009625D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46D" w:rsidRDefault="002F546D" w:rsidP="009625D4">
      <w:r>
        <w:separator/>
      </w:r>
    </w:p>
  </w:footnote>
  <w:footnote w:type="continuationSeparator" w:id="0">
    <w:p w:rsidR="002F546D" w:rsidRDefault="002F546D" w:rsidP="00962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D4" w:rsidRDefault="009625D4">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D4" w:rsidRDefault="009625D4">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evenAndOddHeaders/>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546D"/>
    <w:rsid w:val="002F7DF8"/>
    <w:rsid w:val="00304A84"/>
    <w:rsid w:val="00320296"/>
    <w:rsid w:val="00341FBF"/>
    <w:rsid w:val="00361106"/>
    <w:rsid w:val="003870B2"/>
    <w:rsid w:val="00405342"/>
    <w:rsid w:val="0041162C"/>
    <w:rsid w:val="00413B8A"/>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25CB3"/>
    <w:rsid w:val="00661B2B"/>
    <w:rsid w:val="006858D8"/>
    <w:rsid w:val="006B016C"/>
    <w:rsid w:val="006B487D"/>
    <w:rsid w:val="006B7880"/>
    <w:rsid w:val="0079691A"/>
    <w:rsid w:val="00801006"/>
    <w:rsid w:val="00831E9A"/>
    <w:rsid w:val="008A5502"/>
    <w:rsid w:val="008D5D88"/>
    <w:rsid w:val="008F69CD"/>
    <w:rsid w:val="00900D1F"/>
    <w:rsid w:val="00902FF2"/>
    <w:rsid w:val="009625D4"/>
    <w:rsid w:val="009857B2"/>
    <w:rsid w:val="00996A63"/>
    <w:rsid w:val="009D7B72"/>
    <w:rsid w:val="009E6421"/>
    <w:rsid w:val="009E6A54"/>
    <w:rsid w:val="00A122B2"/>
    <w:rsid w:val="00A227B8"/>
    <w:rsid w:val="00A265F6"/>
    <w:rsid w:val="00A30678"/>
    <w:rsid w:val="00A54E5C"/>
    <w:rsid w:val="00A8446A"/>
    <w:rsid w:val="00AC1677"/>
    <w:rsid w:val="00AF3EA3"/>
    <w:rsid w:val="00B116B4"/>
    <w:rsid w:val="00B146D8"/>
    <w:rsid w:val="00B30D5E"/>
    <w:rsid w:val="00B5205C"/>
    <w:rsid w:val="00B70912"/>
    <w:rsid w:val="00B813ED"/>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44BC0EEC"/>
    <w:rsid w:val="47BE0CF7"/>
    <w:rsid w:val="482A39F4"/>
    <w:rsid w:val="49920CD3"/>
    <w:rsid w:val="4CC753C4"/>
    <w:rsid w:val="56755F92"/>
    <w:rsid w:val="653A70E2"/>
    <w:rsid w:val="6C1E17DE"/>
    <w:rsid w:val="72406E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5049777"/>
  <w15:docId w15:val="{3C54FF81-B502-438B-B698-45DB7328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25D4"/>
    <w:pPr>
      <w:widowControl w:val="0"/>
      <w:jc w:val="both"/>
    </w:pPr>
    <w:rPr>
      <w:rFonts w:eastAsia="仿宋_GB2312"/>
      <w:kern w:val="2"/>
      <w:sz w:val="32"/>
      <w:szCs w:val="24"/>
    </w:rPr>
  </w:style>
  <w:style w:type="paragraph" w:styleId="1">
    <w:name w:val="heading 1"/>
    <w:basedOn w:val="a"/>
    <w:next w:val="a"/>
    <w:link w:val="10"/>
    <w:qFormat/>
    <w:rsid w:val="009625D4"/>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9625D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9625D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9625D4"/>
    <w:pPr>
      <w:shd w:val="clear" w:color="auto" w:fill="000080"/>
    </w:pPr>
  </w:style>
  <w:style w:type="paragraph" w:styleId="a4">
    <w:name w:val="Plain Text"/>
    <w:basedOn w:val="a"/>
    <w:link w:val="a5"/>
    <w:uiPriority w:val="99"/>
    <w:unhideWhenUsed/>
    <w:qFormat/>
    <w:rsid w:val="009625D4"/>
    <w:rPr>
      <w:rFonts w:ascii="宋体" w:eastAsia="宋体" w:hAnsi="Courier New"/>
      <w:sz w:val="21"/>
      <w:szCs w:val="21"/>
    </w:rPr>
  </w:style>
  <w:style w:type="paragraph" w:styleId="a6">
    <w:name w:val="Balloon Text"/>
    <w:basedOn w:val="a"/>
    <w:semiHidden/>
    <w:qFormat/>
    <w:rsid w:val="009625D4"/>
    <w:rPr>
      <w:sz w:val="18"/>
      <w:szCs w:val="18"/>
    </w:rPr>
  </w:style>
  <w:style w:type="paragraph" w:styleId="a7">
    <w:name w:val="footer"/>
    <w:basedOn w:val="a"/>
    <w:link w:val="a8"/>
    <w:uiPriority w:val="99"/>
    <w:qFormat/>
    <w:rsid w:val="009625D4"/>
    <w:pPr>
      <w:tabs>
        <w:tab w:val="center" w:pos="4153"/>
        <w:tab w:val="right" w:pos="8306"/>
      </w:tabs>
      <w:snapToGrid w:val="0"/>
      <w:jc w:val="left"/>
    </w:pPr>
    <w:rPr>
      <w:sz w:val="18"/>
      <w:szCs w:val="18"/>
    </w:rPr>
  </w:style>
  <w:style w:type="paragraph" w:styleId="a9">
    <w:name w:val="header"/>
    <w:basedOn w:val="a"/>
    <w:link w:val="aa"/>
    <w:uiPriority w:val="99"/>
    <w:qFormat/>
    <w:rsid w:val="009625D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9625D4"/>
  </w:style>
  <w:style w:type="paragraph" w:styleId="ab">
    <w:name w:val="Subtitle"/>
    <w:basedOn w:val="a"/>
    <w:next w:val="a"/>
    <w:link w:val="ac"/>
    <w:qFormat/>
    <w:rsid w:val="009625D4"/>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9625D4"/>
    <w:pPr>
      <w:ind w:leftChars="200" w:left="420"/>
    </w:pPr>
  </w:style>
  <w:style w:type="paragraph" w:styleId="ad">
    <w:name w:val="Title"/>
    <w:basedOn w:val="a"/>
    <w:next w:val="a"/>
    <w:link w:val="ae"/>
    <w:qFormat/>
    <w:rsid w:val="009625D4"/>
    <w:pPr>
      <w:spacing w:before="240" w:after="60"/>
      <w:jc w:val="center"/>
      <w:outlineLvl w:val="0"/>
    </w:pPr>
    <w:rPr>
      <w:rFonts w:ascii="Cambria" w:eastAsia="宋体" w:hAnsi="Cambria"/>
      <w:b/>
      <w:bCs/>
      <w:szCs w:val="32"/>
    </w:rPr>
  </w:style>
  <w:style w:type="character" w:styleId="af">
    <w:name w:val="Strong"/>
    <w:qFormat/>
    <w:rsid w:val="009625D4"/>
    <w:rPr>
      <w:b/>
      <w:bCs/>
    </w:rPr>
  </w:style>
  <w:style w:type="character" w:styleId="af0">
    <w:name w:val="page number"/>
    <w:basedOn w:val="a0"/>
    <w:qFormat/>
    <w:rsid w:val="009625D4"/>
  </w:style>
  <w:style w:type="character" w:styleId="af1">
    <w:name w:val="FollowedHyperlink"/>
    <w:qFormat/>
    <w:rsid w:val="009625D4"/>
    <w:rPr>
      <w:color w:val="800080"/>
      <w:u w:val="single"/>
    </w:rPr>
  </w:style>
  <w:style w:type="character" w:styleId="af2">
    <w:name w:val="Emphasis"/>
    <w:qFormat/>
    <w:rsid w:val="009625D4"/>
    <w:rPr>
      <w:i/>
      <w:iCs/>
    </w:rPr>
  </w:style>
  <w:style w:type="character" w:styleId="af3">
    <w:name w:val="Hyperlink"/>
    <w:uiPriority w:val="99"/>
    <w:qFormat/>
    <w:rsid w:val="009625D4"/>
    <w:rPr>
      <w:rFonts w:ascii="ˎ̥" w:hAnsi="ˎ̥" w:hint="default"/>
      <w:color w:val="0404B3"/>
      <w:sz w:val="18"/>
      <w:szCs w:val="18"/>
      <w:u w:val="none"/>
    </w:rPr>
  </w:style>
  <w:style w:type="paragraph" w:customStyle="1" w:styleId="Style20">
    <w:name w:val="_Style 20"/>
    <w:basedOn w:val="1"/>
    <w:next w:val="a"/>
    <w:uiPriority w:val="39"/>
    <w:qFormat/>
    <w:rsid w:val="009625D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9625D4"/>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9625D4"/>
    <w:rPr>
      <w:rFonts w:eastAsia="仿宋_GB2312"/>
      <w:kern w:val="2"/>
      <w:sz w:val="18"/>
      <w:szCs w:val="18"/>
    </w:rPr>
  </w:style>
  <w:style w:type="character" w:customStyle="1" w:styleId="a5">
    <w:name w:val="纯文本 字符"/>
    <w:link w:val="a4"/>
    <w:uiPriority w:val="99"/>
    <w:qFormat/>
    <w:rsid w:val="009625D4"/>
    <w:rPr>
      <w:rFonts w:ascii="宋体" w:hAnsi="Courier New" w:cs="Courier New"/>
      <w:kern w:val="2"/>
      <w:sz w:val="21"/>
      <w:szCs w:val="21"/>
    </w:rPr>
  </w:style>
  <w:style w:type="character" w:customStyle="1" w:styleId="Char1">
    <w:name w:val="纯文本 Char1"/>
    <w:qFormat/>
    <w:rsid w:val="009625D4"/>
    <w:rPr>
      <w:rFonts w:ascii="宋体" w:hAnsi="Courier New" w:cs="Courier New"/>
      <w:kern w:val="2"/>
      <w:sz w:val="21"/>
      <w:szCs w:val="21"/>
    </w:rPr>
  </w:style>
  <w:style w:type="character" w:customStyle="1" w:styleId="ac">
    <w:name w:val="副标题 字符"/>
    <w:link w:val="ab"/>
    <w:qFormat/>
    <w:rsid w:val="009625D4"/>
    <w:rPr>
      <w:rFonts w:ascii="Cambria" w:hAnsi="Cambria" w:cs="Times New Roman"/>
      <w:b/>
      <w:bCs/>
      <w:kern w:val="28"/>
      <w:sz w:val="32"/>
      <w:szCs w:val="32"/>
    </w:rPr>
  </w:style>
  <w:style w:type="character" w:customStyle="1" w:styleId="10">
    <w:name w:val="标题 1 字符"/>
    <w:link w:val="1"/>
    <w:qFormat/>
    <w:rsid w:val="009625D4"/>
    <w:rPr>
      <w:rFonts w:eastAsia="仿宋_GB2312"/>
      <w:b/>
      <w:bCs/>
      <w:kern w:val="44"/>
      <w:sz w:val="44"/>
      <w:szCs w:val="44"/>
    </w:rPr>
  </w:style>
  <w:style w:type="character" w:customStyle="1" w:styleId="ae">
    <w:name w:val="标题 字符"/>
    <w:link w:val="ad"/>
    <w:qFormat/>
    <w:rsid w:val="009625D4"/>
    <w:rPr>
      <w:rFonts w:ascii="Cambria" w:hAnsi="Cambria" w:cs="Times New Roman"/>
      <w:b/>
      <w:bCs/>
      <w:kern w:val="2"/>
      <w:sz w:val="32"/>
      <w:szCs w:val="32"/>
    </w:rPr>
  </w:style>
  <w:style w:type="character" w:customStyle="1" w:styleId="11Char">
    <w:name w:val="1.1 Char"/>
    <w:link w:val="11"/>
    <w:qFormat/>
    <w:rsid w:val="009625D4"/>
    <w:rPr>
      <w:rFonts w:ascii="Calibri" w:hAnsi="Calibri"/>
      <w:b/>
      <w:bCs/>
      <w:kern w:val="2"/>
      <w:sz w:val="30"/>
      <w:szCs w:val="32"/>
    </w:rPr>
  </w:style>
  <w:style w:type="character" w:customStyle="1" w:styleId="30">
    <w:name w:val="标题 3 字符"/>
    <w:link w:val="3"/>
    <w:semiHidden/>
    <w:qFormat/>
    <w:rsid w:val="009625D4"/>
    <w:rPr>
      <w:rFonts w:eastAsia="仿宋_GB2312"/>
      <w:b/>
      <w:bCs/>
      <w:kern w:val="2"/>
      <w:sz w:val="32"/>
      <w:szCs w:val="32"/>
    </w:rPr>
  </w:style>
  <w:style w:type="character" w:customStyle="1" w:styleId="20">
    <w:name w:val="标题 2 字符"/>
    <w:link w:val="2"/>
    <w:uiPriority w:val="9"/>
    <w:qFormat/>
    <w:rsid w:val="009625D4"/>
    <w:rPr>
      <w:rFonts w:ascii="Cambria" w:hAnsi="Cambria"/>
      <w:b/>
      <w:bCs/>
      <w:kern w:val="2"/>
      <w:sz w:val="32"/>
      <w:szCs w:val="32"/>
    </w:rPr>
  </w:style>
  <w:style w:type="character" w:customStyle="1" w:styleId="a8">
    <w:name w:val="页脚 字符"/>
    <w:link w:val="a7"/>
    <w:uiPriority w:val="99"/>
    <w:qFormat/>
    <w:rsid w:val="009625D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260</Words>
  <Characters>1484</Characters>
  <Application>Microsoft Office Word</Application>
  <DocSecurity>0</DocSecurity>
  <Lines>12</Lines>
  <Paragraphs>3</Paragraphs>
  <ScaleCrop>false</ScaleCrop>
  <Company>Lenovo</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